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23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5D" w:rsidRDefault="000B07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0B075D">
      <w:rPr>
        <w:rFonts w:ascii="Verdana" w:hAnsi="Verdana"/>
      </w:rPr>
      <w:t>8</w:t>
    </w:r>
    <w:bookmarkStart w:id="0" w:name="_GoBack"/>
    <w:bookmarkEnd w:id="0"/>
    <w:r w:rsidR="004A3640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B075D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B075D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23827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D04FE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5D" w:rsidRDefault="000B07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D04FE2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-75565</wp:posOffset>
                </wp:positionV>
                <wp:extent cx="2235200" cy="838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sch_Briefkopf2022 f. Formulare etc.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02382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01EBEFDC" wp14:editId="535D7388">
                <wp:simplePos x="0" y="0"/>
                <wp:positionH relativeFrom="column">
                  <wp:posOffset>676275</wp:posOffset>
                </wp:positionH>
                <wp:positionV relativeFrom="paragraph">
                  <wp:posOffset>-481330</wp:posOffset>
                </wp:positionV>
                <wp:extent cx="2038350" cy="1800543"/>
                <wp:effectExtent l="0" t="0" r="0" b="952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sch_Logo_Far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80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23827"/>
    <w:rsid w:val="0004755B"/>
    <w:rsid w:val="00055B90"/>
    <w:rsid w:val="0005708C"/>
    <w:rsid w:val="0006146D"/>
    <w:rsid w:val="00065252"/>
    <w:rsid w:val="0008081C"/>
    <w:rsid w:val="00080AF9"/>
    <w:rsid w:val="000A0A52"/>
    <w:rsid w:val="000B075D"/>
    <w:rsid w:val="000B127D"/>
    <w:rsid w:val="000C55BC"/>
    <w:rsid w:val="00123294"/>
    <w:rsid w:val="00136F98"/>
    <w:rsid w:val="00186B04"/>
    <w:rsid w:val="001B758C"/>
    <w:rsid w:val="001D4BB8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A3640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4FE2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111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2022-10-19T12:53:00Z</dcterms:created>
  <dcterms:modified xsi:type="dcterms:W3CDTF">2022-10-19T12:54:00Z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