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38" w:rsidRPr="00721583" w:rsidRDefault="001F7238" w:rsidP="001F7238">
      <w:pPr>
        <w:rPr>
          <w:rFonts w:eastAsiaTheme="minorHAnsi"/>
          <w:b/>
          <w:sz w:val="32"/>
          <w:szCs w:val="32"/>
          <w:lang w:eastAsia="en-US"/>
        </w:rPr>
      </w:pPr>
      <w:bookmarkStart w:id="0" w:name="_GoBack"/>
      <w:bookmarkEnd w:id="0"/>
      <w:r w:rsidRPr="00721583">
        <w:rPr>
          <w:rFonts w:eastAsiaTheme="minorHAnsi"/>
          <w:b/>
          <w:sz w:val="32"/>
          <w:szCs w:val="32"/>
          <w:lang w:eastAsia="en-US"/>
        </w:rPr>
        <w:t>Merkblatt Steuerermäßigung bei Aufwendungen im eigenen Haushalt / Heim nach § 35a EStG</w:t>
      </w:r>
    </w:p>
    <w:p w:rsidR="001F7238" w:rsidRPr="00721583" w:rsidRDefault="001F7238" w:rsidP="001F7238">
      <w:pPr>
        <w:rPr>
          <w:rFonts w:eastAsiaTheme="minorHAnsi"/>
          <w:lang w:eastAsia="en-US"/>
        </w:rPr>
      </w:pPr>
    </w:p>
    <w:p w:rsidR="001F7238" w:rsidRPr="00721583" w:rsidRDefault="001F7238" w:rsidP="001F7238">
      <w:pPr>
        <w:rPr>
          <w:rFonts w:eastAsiaTheme="minorHAnsi"/>
          <w:i/>
          <w:lang w:eastAsia="en-US"/>
        </w:rPr>
      </w:pPr>
      <w:r w:rsidRPr="00721583">
        <w:rPr>
          <w:rFonts w:eastAsiaTheme="minorHAnsi"/>
          <w:i/>
          <w:lang w:eastAsia="en-US"/>
        </w:rPr>
        <w:t>Anbei erhalten Sie die Anlage 1 des BMF-Schreibens vom 09.11.2016 mit der Bitte um Prüfung.</w:t>
      </w:r>
    </w:p>
    <w:p w:rsidR="001F7238" w:rsidRPr="00721583" w:rsidRDefault="001F7238" w:rsidP="001F7238">
      <w:pPr>
        <w:numPr>
          <w:ilvl w:val="0"/>
          <w:numId w:val="1"/>
        </w:numPr>
        <w:contextualSpacing/>
        <w:rPr>
          <w:rFonts w:eastAsiaTheme="minorHAnsi"/>
          <w:lang w:eastAsia="en-US"/>
        </w:rPr>
      </w:pPr>
      <w:r w:rsidRPr="00721583">
        <w:rPr>
          <w:rFonts w:eastAsiaTheme="minorHAnsi"/>
          <w:lang w:eastAsia="en-US"/>
        </w:rPr>
        <w:t>haushaltsnahe Beschäftigungsverhältnisse, bei denen es sich um eine geringfügige Beschäftigung im Sinne des § 8a des Vierten Buches Sozialgesetzbuch handelt</w:t>
      </w:r>
    </w:p>
    <w:p w:rsidR="001F7238" w:rsidRPr="00721583" w:rsidRDefault="001F7238" w:rsidP="001F7238">
      <w:pPr>
        <w:numPr>
          <w:ilvl w:val="0"/>
          <w:numId w:val="1"/>
        </w:numPr>
        <w:contextualSpacing/>
        <w:rPr>
          <w:rFonts w:eastAsiaTheme="minorHAnsi"/>
          <w:lang w:eastAsia="en-US"/>
        </w:rPr>
      </w:pPr>
      <w:r w:rsidRPr="00721583">
        <w:rPr>
          <w:rFonts w:eastAsiaTheme="minorHAnsi"/>
          <w:lang w:eastAsia="en-US"/>
        </w:rPr>
        <w:t>Für andere haushaltsnahe Beschäftigungsverhältnisse oder für die Inanspruchnahme von haushaltsnahen Dienstleistungen. Die Steuerermäßigung kann auch in Anspruch genommen werden für die Inanspruchnahme von Pflege- und Betreuungsleistungen sowie für Aufwendungen, die einem Steuerpflichtigen wegen der Unterbringung in einem Heim oder zur dauernden Pflege erwachsen, soweit darin Kosten für Dienstleistungen enthalten sind, die mit denen einer Hilfe im Haushalt vergleichbar sind</w:t>
      </w:r>
    </w:p>
    <w:p w:rsidR="001F7238" w:rsidRPr="00721583" w:rsidRDefault="001F7238" w:rsidP="001F7238">
      <w:pPr>
        <w:numPr>
          <w:ilvl w:val="0"/>
          <w:numId w:val="1"/>
        </w:numPr>
        <w:contextualSpacing/>
        <w:rPr>
          <w:rFonts w:eastAsiaTheme="minorHAnsi"/>
          <w:lang w:eastAsia="en-US"/>
        </w:rPr>
      </w:pPr>
      <w:r w:rsidRPr="00721583">
        <w:rPr>
          <w:rFonts w:eastAsiaTheme="minorHAnsi"/>
          <w:lang w:eastAsia="en-US"/>
        </w:rPr>
        <w:t xml:space="preserve">Für die Inanspruchnahme von Handwerkerleistungen für Renovierungs-, Erhaltungs- und Modernisierungsmaßnahmen </w:t>
      </w:r>
    </w:p>
    <w:p w:rsidR="001F7238" w:rsidRPr="00721583" w:rsidRDefault="001F7238" w:rsidP="001F7238">
      <w:pPr>
        <w:numPr>
          <w:ilvl w:val="0"/>
          <w:numId w:val="1"/>
        </w:numPr>
        <w:contextualSpacing/>
        <w:rPr>
          <w:rFonts w:eastAsiaTheme="minorHAnsi"/>
          <w:lang w:eastAsia="en-US"/>
        </w:rPr>
      </w:pPr>
      <w:r w:rsidRPr="00721583">
        <w:rPr>
          <w:rFonts w:eastAsiaTheme="minorHAnsi"/>
          <w:lang w:eastAsia="en-US"/>
        </w:rPr>
        <w:t>Die Steuerermäßigung kann nur in Anspruch genommen werden, wenn das Beschäftigungsverhältnis, die Dienstleistung oder die Handwerkerleistung in einem in der Europäischen Union oder dem Europäischen Wirtschaftsraum liegenden Haushalt des Steuerpflichtigen oder – bei Pflege- und Betreuungsleistungen – der gepflegten oder betreuten Person ausgeübt oder erbracht wird</w:t>
      </w:r>
    </w:p>
    <w:p w:rsidR="001F7238" w:rsidRPr="00721583" w:rsidRDefault="001F7238" w:rsidP="001F7238">
      <w:pPr>
        <w:numPr>
          <w:ilvl w:val="0"/>
          <w:numId w:val="1"/>
        </w:numPr>
        <w:contextualSpacing/>
        <w:rPr>
          <w:rFonts w:eastAsiaTheme="minorHAnsi"/>
          <w:lang w:eastAsia="en-US"/>
        </w:rPr>
      </w:pPr>
      <w:r w:rsidRPr="00721583">
        <w:rPr>
          <w:rFonts w:eastAsiaTheme="minorHAnsi"/>
          <w:lang w:eastAsia="en-US"/>
        </w:rPr>
        <w:t>Die Steuerermäßigungen können nur in Anspruch genommen werden, soweit die Aufwendungen nicht Betriebsausgaben oder Werbungskosten darstellen und soweit sie nicht als Sonderausgaben oder außergewöhnliche Belastungen berücksichtigt worden sind</w:t>
      </w:r>
    </w:p>
    <w:p w:rsidR="001F7238" w:rsidRPr="00721583" w:rsidRDefault="001F7238" w:rsidP="001F7238">
      <w:pPr>
        <w:numPr>
          <w:ilvl w:val="0"/>
          <w:numId w:val="1"/>
        </w:numPr>
        <w:contextualSpacing/>
        <w:rPr>
          <w:rFonts w:eastAsiaTheme="minorHAnsi"/>
          <w:lang w:eastAsia="en-US"/>
        </w:rPr>
      </w:pPr>
      <w:r w:rsidRPr="00721583">
        <w:rPr>
          <w:rFonts w:eastAsiaTheme="minorHAnsi"/>
          <w:lang w:eastAsia="en-US"/>
        </w:rPr>
        <w:t>Voraussetzung für die Inanspruchnahme der Steuerermäßigung für haushaltsnahe Dienstleistungen oder für Handwerkerleistungen ist, dass der Steuerpflichtige für die Aufwendungen eine Rechnung erhalten hat und die Zahlung auf das Konto des Erbringers der Leistung erfolgt ist. Leben zwei Alleinstehende in einem Haushalt zusammen, können sie die Höchstbeträge insgesamt jeweils nur einmal in Anspruch nehmen.</w:t>
      </w:r>
    </w:p>
    <w:p w:rsidR="001F7238" w:rsidRPr="00721583" w:rsidRDefault="001F7238" w:rsidP="001F7238">
      <w:pPr>
        <w:rPr>
          <w:rFonts w:eastAsiaTheme="minorHAnsi"/>
          <w:lang w:eastAsia="en-US"/>
        </w:rPr>
      </w:pPr>
    </w:p>
    <w:p w:rsidR="001F7238" w:rsidRDefault="001F7238" w:rsidP="001F7238"/>
    <w:p w:rsidR="001F7238" w:rsidRDefault="001F7238" w:rsidP="001F7238"/>
    <w:p w:rsidR="001F7238" w:rsidRDefault="001F7238" w:rsidP="001F7238"/>
    <w:p w:rsidR="001F7238" w:rsidRDefault="001F7238" w:rsidP="001F7238"/>
    <w:p w:rsidR="001F7238" w:rsidRDefault="001F7238" w:rsidP="001F7238"/>
    <w:p w:rsidR="001F7238" w:rsidRDefault="001F7238" w:rsidP="001F7238"/>
    <w:p w:rsidR="001F7238" w:rsidRDefault="001F7238" w:rsidP="001F7238"/>
    <w:p w:rsidR="001F7238" w:rsidRDefault="001F7238" w:rsidP="001F7238"/>
    <w:p w:rsidR="001F7238" w:rsidRDefault="001F7238" w:rsidP="001F7238"/>
    <w:p w:rsidR="001F7238" w:rsidRDefault="001F7238" w:rsidP="001F7238"/>
    <w:p w:rsidR="001F7238" w:rsidRDefault="001F7238" w:rsidP="001F7238"/>
    <w:p w:rsidR="001F7238" w:rsidRPr="00721583" w:rsidRDefault="001F7238" w:rsidP="001F7238">
      <w:pPr>
        <w:spacing w:after="0" w:line="240" w:lineRule="auto"/>
        <w:textAlignment w:val="baseline"/>
        <w:outlineLvl w:val="1"/>
        <w:rPr>
          <w:rFonts w:ascii="Compatil DATEV W01 Regular" w:eastAsia="Times New Roman" w:hAnsi="Compatil DATEV W01 Regular" w:cs="Segoe UI"/>
          <w:color w:val="039A9A"/>
          <w:sz w:val="34"/>
          <w:szCs w:val="34"/>
        </w:rPr>
      </w:pPr>
      <w:r w:rsidRPr="00721583">
        <w:rPr>
          <w:rFonts w:ascii="Compatil DATEV W01 Regular" w:eastAsia="Times New Roman" w:hAnsi="Compatil DATEV W01 Regular" w:cs="Segoe UI"/>
          <w:color w:val="039A9A"/>
          <w:sz w:val="34"/>
          <w:szCs w:val="34"/>
        </w:rPr>
        <w:lastRenderedPageBreak/>
        <w:t xml:space="preserve">Anlage 1 - Beispielhafte Aufzählung begünstigter und nicht begünstigter </w:t>
      </w:r>
      <w:r w:rsidRPr="00721583">
        <w:rPr>
          <w:rFonts w:ascii="Compatil DATEV W01 Regular" w:eastAsia="Times New Roman" w:hAnsi="Compatil DATEV W01 Regular" w:cs="Segoe UI"/>
          <w:color w:val="039A9A"/>
          <w:sz w:val="34"/>
          <w:szCs w:val="34"/>
          <w:shd w:val="clear" w:color="auto" w:fill="FFE399"/>
        </w:rPr>
        <w:t>haushaltsnaher</w:t>
      </w:r>
      <w:r w:rsidRPr="00721583">
        <w:rPr>
          <w:rFonts w:ascii="Compatil DATEV W01 Regular" w:eastAsia="Times New Roman" w:hAnsi="Compatil DATEV W01 Regular" w:cs="Segoe UI"/>
          <w:color w:val="039A9A"/>
          <w:sz w:val="34"/>
          <w:szCs w:val="34"/>
        </w:rPr>
        <w:t xml:space="preserve"> </w:t>
      </w:r>
      <w:r w:rsidRPr="00721583">
        <w:rPr>
          <w:rFonts w:ascii="Compatil DATEV W01 Regular" w:eastAsia="Times New Roman" w:hAnsi="Compatil DATEV W01 Regular" w:cs="Segoe UI"/>
          <w:color w:val="039A9A"/>
          <w:sz w:val="34"/>
          <w:szCs w:val="34"/>
          <w:shd w:val="clear" w:color="auto" w:fill="FFE399"/>
        </w:rPr>
        <w:t>Dienstleistungen</w:t>
      </w:r>
      <w:r w:rsidRPr="00721583">
        <w:rPr>
          <w:rFonts w:ascii="Compatil DATEV W01 Regular" w:eastAsia="Times New Roman" w:hAnsi="Compatil DATEV W01 Regular" w:cs="Segoe UI"/>
          <w:color w:val="039A9A"/>
          <w:sz w:val="34"/>
          <w:szCs w:val="34"/>
        </w:rPr>
        <w:t xml:space="preserve"> und </w:t>
      </w:r>
      <w:r w:rsidRPr="00721583">
        <w:rPr>
          <w:rFonts w:ascii="Compatil DATEV W01 Regular" w:eastAsia="Times New Roman" w:hAnsi="Compatil DATEV W01 Regular" w:cs="Segoe UI"/>
          <w:color w:val="039A9A"/>
          <w:sz w:val="34"/>
          <w:szCs w:val="34"/>
          <w:shd w:val="clear" w:color="auto" w:fill="FFE399"/>
        </w:rPr>
        <w:t>Handwerkerleistungen</w:t>
      </w:r>
      <w:r w:rsidRPr="00721583">
        <w:rPr>
          <w:rFonts w:ascii="Compatil DATEV W01 Regular" w:eastAsia="Times New Roman" w:hAnsi="Compatil DATEV W01 Regular" w:cs="Segoe UI"/>
          <w:color w:val="039A9A"/>
          <w:sz w:val="34"/>
          <w:szCs w:val="34"/>
        </w:rPr>
        <w:t xml:space="preserve"> (zu Rdnrn. 7, 20, 21)</w:t>
      </w:r>
    </w:p>
    <w:tbl>
      <w:tblPr>
        <w:tblW w:w="5000" w:type="pct"/>
        <w:tblCellMar>
          <w:left w:w="0" w:type="dxa"/>
          <w:right w:w="0" w:type="dxa"/>
        </w:tblCellMar>
        <w:tblLook w:val="04A0" w:firstRow="1" w:lastRow="0" w:firstColumn="1" w:lastColumn="0" w:noHBand="0" w:noVBand="1"/>
      </w:tblPr>
      <w:tblGrid>
        <w:gridCol w:w="2225"/>
        <w:gridCol w:w="1947"/>
        <w:gridCol w:w="1947"/>
        <w:gridCol w:w="1268"/>
        <w:gridCol w:w="1675"/>
      </w:tblGrid>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Semibold" w:eastAsia="Times New Roman" w:hAnsi="Segoe UI Semibold" w:cs="Segoe UI Semibold"/>
                <w:b/>
                <w:bCs/>
                <w:color w:val="0F0F0F"/>
              </w:rPr>
              <w:t>Maßnahme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Semibold" w:eastAsia="Times New Roman" w:hAnsi="Segoe UI Semibold" w:cs="Segoe UI Semibold"/>
                <w:b/>
                <w:bCs/>
                <w:color w:val="0F0F0F"/>
              </w:rPr>
              <w:t>begünstigt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Semibold" w:eastAsia="Times New Roman" w:hAnsi="Segoe UI Semibold" w:cs="Segoe UI Semibold"/>
                <w:b/>
                <w:bCs/>
                <w:color w:val="0F0F0F"/>
              </w:rPr>
              <w:t>nicht begünstigt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Semibold" w:eastAsia="Times New Roman" w:hAnsi="Segoe UI Semibold" w:cs="Segoe UI Semibold"/>
                <w:b/>
                <w:bCs/>
                <w:color w:val="0F0F0F"/>
                <w:shd w:val="clear" w:color="auto" w:fill="FFE399"/>
              </w:rPr>
              <w:t>Haushaltsnahe</w:t>
            </w:r>
            <w:r w:rsidRPr="00721583">
              <w:rPr>
                <w:rFonts w:ascii="Segoe UI Semibold" w:eastAsia="Times New Roman" w:hAnsi="Segoe UI Semibold" w:cs="Segoe UI Semibold"/>
                <w:b/>
                <w:bCs/>
                <w:color w:val="0F0F0F"/>
              </w:rPr>
              <w:t xml:space="preserve"> </w:t>
            </w:r>
            <w:r w:rsidRPr="00721583">
              <w:rPr>
                <w:rFonts w:ascii="Segoe UI Semibold" w:eastAsia="Times New Roman" w:hAnsi="Segoe UI Semibold" w:cs="Segoe UI Semibold"/>
                <w:b/>
                <w:bCs/>
                <w:color w:val="0F0F0F"/>
                <w:shd w:val="clear" w:color="auto" w:fill="FFE399"/>
              </w:rPr>
              <w:t>Dienstleistung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Semibold" w:eastAsia="Times New Roman" w:hAnsi="Segoe UI Semibold" w:cs="Segoe UI Semibold"/>
                <w:b/>
                <w:bCs/>
                <w:color w:val="0F0F0F"/>
              </w:rPr>
              <w:t>Handwerkerleistung</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Abfallmanagement ("Vorsortierung")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Abflussrohrreinigung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Ablesedienste und Abrechnung bei Verbrauchszählern (Strom, Gas, Wasser, Heizung usw.)</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Abriss eines baufälligen Gebäudes mit anschließendem Neubau</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Abwasserentsorgung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Wartung und Reinigung 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Anliegerbeitrag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1. am Dach</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2. an Bodenbelägen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3. an der Fassade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4. an Garagen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5. an Innen- und Außenwänden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6. an Zu- und Ableitungen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soweit 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Architektenleistung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Asbestsanierung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Aufstellen eines Baugerüstes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Miete, Material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Aufzugnotruf</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Außenanlagen, Errichtung von ~, wie z. B. Wege, Zäune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 für Maßnahmen auf privatem Grundstück</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auf öffentlichem Grundstück oder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im Rahmen einer Neubaumaßnahme (Rdnr.21)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Austausch oder Modernisierung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1. der Einbauküche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2. von Bodenbelägen (z. B. Teppichboden, Parkett, Fliesen)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3. von Fenstern und Türen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Bereitschaft der Erbringung einer ansonsten begünstigten Leistung im Bedarfsfall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als Nebenleistung einer ansonsten begünstigten Hauptleistung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nur Bereitschaft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Brandschadensanierung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soweit nicht Versicherungsleistung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soweit Versicherungsleistung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Breitbandkabelnetz</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Installation, Wartung und Reparatur 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Carport, Terrassenüberdachung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Errichtung im Rahmen einer Neubaumaßnahme (Rdnr.21)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Chauffeur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Dachgeschossausbau</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Errichtung im Rahmen einer Neubaumaßnahme (Rdnr.21)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Dachrinnenreinigung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Datenverbindungen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 Hausanschlüsse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 Hausanschlüsse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Deichabgaben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Dichtheitsprüfung von Abwasseranlagen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Elektroanlagen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Wartung und Reparatur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Energiepass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Entsorgungsleistung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als Nebenleistung, (z. B. Bauschutt, Fliesenabfuhr bei Neuverfliesung eines Bades, Grünschnittabfuhr bei Gartenpflege)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als Hauptleistung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Erhaltungsmaßnahmen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 für Maßnahmen auf privatem Grundstück</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Erstellung oder Hilfe bei der Erstellung der Steuererklärung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Fäkalienabfuhr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Fahrstuhlkosten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Wartung und Reparatur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Betriebskosten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Fertiggaragen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Errichtung im Rahmen einer Neubaumaßnahme (Rdnr.21)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Feuerlöscher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Wartung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Feuerstättenschau - s. auch Schornsteinfeger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Fitnesstrainer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Friseurleistungen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u w:val="single"/>
              </w:rPr>
              <w:t>nur</w:t>
            </w:r>
            <w:r w:rsidRPr="00721583">
              <w:rPr>
                <w:rFonts w:ascii="Segoe UI" w:eastAsia="Times New Roman" w:hAnsi="Segoe UI" w:cs="Segoe UI"/>
                <w:color w:val="0F0F0F"/>
              </w:rPr>
              <w:t xml:space="preserve"> soweit sie zu den Pflege- und Betreuungsleistungen gehören, wenn sie im Leistungskatalog der Pflegeversicherung aufgeführt sind (und der Behinderten-Pauschbetrag nicht geltend gemacht wird; s. Rdnrn. 8, 10, 32, 33)</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anderen Friseurleistungen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Fußbodenheizung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Wartung, Spülung, Reparatur, nachträglicher Einbau</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Materialkosten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Gärtner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Gartengestaltung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erstmalige Anlage im Rahmen einer Neubaumaßnahme (Rdnr. 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Gartenpflegearbeiten (z. B. Rasen mähen, Hecken schneiden)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innerhalb des Grundstücks einschließlich Grünschnittentsorgung als Nebenleistung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Gemeinschaftsmaschinen bei Mietern (z. B. Waschmaschine, Trockner)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Reparatur und Wartung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Miete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Gewerbeabfallentsorgung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Graffitibeseitigung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Gutachtertätigkeiten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Hand- und Fußpflege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u w:val="single"/>
              </w:rPr>
              <w:t>nur</w:t>
            </w:r>
            <w:r w:rsidRPr="00721583">
              <w:rPr>
                <w:rFonts w:ascii="Segoe UI" w:eastAsia="Times New Roman" w:hAnsi="Segoe UI" w:cs="Segoe UI"/>
                <w:color w:val="0F0F0F"/>
              </w:rPr>
              <w:t xml:space="preserve"> soweit sie zu den Pflege- und Betreuungsleistungen gehören, wenn sie im Leistungskatalog der Pflegeversicherung aufgeführt sind (und der Behinderten-Pauschbetrag nicht geltend gemacht wird; s. Rdnrn. 8, 10, 32, 33)</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anderen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Hausanschlüsse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z. B. für den Anschluss von Stromkabeln, für das Fernsehen, für Internet über Kabelfernsehen, Glasfaser oder per Satellitenempfangs- anlagen sowie Weiterführung der Anschlüsse, jeweils 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erstmalige Anschlüsse im Rahmen einer Neubaumaßnahme (Rdnr. 21) und</w:t>
            </w:r>
          </w:p>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Haushaltsauflösung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Hauslehrer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Hausmeister, Hauswart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Hausreinigung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Hausschwammbeseitigung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Hausverwalterkosten oder -gebühren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Heizkosten: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1. Verbrauch</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2. Gerätemiete für Zähler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3. Garantiewartungsgebühren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4. Heizungswartung und Reparatur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5. Austausch der Zähler nach dem Eichgesetz</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6. Schornsteinfeger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 Schornsteinfeger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 Schornsteinfeger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7. Kosten des Ablesedienstes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xml:space="preserve">8. Kosten der Abrechnung an sich </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Hilfe im Haushalt (Rdnrn. 11, 12, 14) - s. Hausarbeiten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Insektenschutzgitter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Montage und Reparatur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Material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Kamin-Einbau</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Errichtung im Rahmen einer Neubaumaßnahme (Rdnr.21)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Kaminkehrer - s. Schornsteinfeger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Kellerausbau</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Errichtung im Rahmen einer Neubaumaßnahme (Rdnr.21)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Kellerschachtabdeckungen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Montage und Reparatur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Material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Kfz. - s. Reparatur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Kinderbetreuungskosten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soweit sie nicht unter § 10 Absatz 1 Nummer 5 EStG (§ 9c EStG a. F.) fallen und für eine Leistung im Haushalt des Steuerpflichtigen anfallen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im Sinne von § 10 Absatz 1 Nummer 5 EStG (§ 9c EStG a. F.); s. auch Rdnr. 34</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Klavierstimmer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Kleidungs- und Wäschepflege und -reinigung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im Haushalt des Steuerpflichtigen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Kontrollaufwendungen des TÜV, z. B. für den Fahrstuhl oder den Treppenlift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Kosmetikleistungen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u w:val="single"/>
              </w:rPr>
              <w:t>nur</w:t>
            </w:r>
            <w:r w:rsidRPr="00721583">
              <w:rPr>
                <w:rFonts w:ascii="Segoe UI" w:eastAsia="Times New Roman" w:hAnsi="Segoe UI" w:cs="Segoe UI"/>
                <w:color w:val="0F0F0F"/>
              </w:rPr>
              <w:t xml:space="preserve"> soweit sie zu den Pflege- und Betreuungsleistungen gehören, wenn sie im Leistungskatalog der Pflegeversicherung aufgeführt sind (und der Behinderten-Pauschbetrag nicht geltend gemacht wird; s. Rdnrn. 8, 10, 32, 33)</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anderen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Laubentfernung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auf privatem Grundstück</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auf öffentlichem Grundstück</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Legionellenprüfung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Leibwächter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Material und sonstige im Zusammenhang mit der Leistung gelieferte Waren ein- schließlich darauf entfallende Umsatzsteuer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Rdnr. 39 Bsp.: Farbe, Fliesen, Pflastersteine, Mörtel, Sand, Tapeten, Teppichboden und andere Fußbodenbeläge, Waren, Stützstrümpfe usw.</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Mauerwerksanierung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xml:space="preserve">Miete von Verbrauchszählern </w:t>
            </w:r>
            <w:r w:rsidRPr="00721583">
              <w:rPr>
                <w:rFonts w:ascii="Segoe UI" w:eastAsia="Times New Roman" w:hAnsi="Segoe UI" w:cs="Segoe UI"/>
                <w:color w:val="0F0F0F"/>
              </w:rPr>
              <w:lastRenderedPageBreak/>
              <w:t>(Strom, Gas, Wasser, Heizung usw.)</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Modernisierungmaßnahmen (z. B. Badezimmer, Küche)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Montageleistung z. B. beim Erwerb neuer Möbel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Müllabfuhr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Müllentsorgungsanlage (Müllschlucker)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Wartung und Reparatur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Müllschränke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Anlieferung und Aufstellen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Material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Nebenpflichten der Haushaltshilfe, wie kleine Botengänge oder Begleitung von Kindern, kranken, alten oder pflegebedürftigen Personen bei Einkäufen oder zum Arztbesuch</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Neubaumaßnahmen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Rdnr. 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Notbereitschaft / Notfalldienste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soweit es sich um eine nicht gesondert berechnete Nebenleistung z. B. im Rahmen eines Wartungsvertrages handelt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anderen reinen Bereitschaftsdienste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Pflasterarbeiten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Pflegebett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Pflege der Außenanlagen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Pilzbekämpfung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Prüfdienste / Prüfleistung (z. B. bei Aufzügen)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Rechtsberatung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Reinigung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der Wohnung, des Treppenhauses und der Zubehörräume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Reparatur, Wartung und Pflege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1. von Bodenbelägen (z. B. Teppichboden, Parkett, Fliesen)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Pflege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Reparatur und Wartung</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2. von Fenstern und Türen (innen und außen)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Pflege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Reparatur und Wartung</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xml:space="preserve">3. von Gegenständen im Haushalt des Steuerpflichtigen (z. B. Waschmaschine, Geschirrspüler, Herd, Fernseher, </w:t>
            </w:r>
            <w:r w:rsidRPr="00721583">
              <w:rPr>
                <w:rFonts w:ascii="Segoe UI" w:eastAsia="Times New Roman" w:hAnsi="Segoe UI" w:cs="Segoe UI"/>
                <w:color w:val="0F0F0F"/>
              </w:rPr>
              <w:lastRenderedPageBreak/>
              <w:t>Personalcomputer und andere)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soweit es sich um Gegenstände handelt, die in der Hausratversicherung mitversichert werden können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Arbeiten außerhalb des Grundstücks des Steuerpflichtigen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Pflege im Haushalt bzw. auf dem Grundstück des Steuer- pflichtigen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Reparatur und Wartung im Haushalt bzw. auf dem Grundstück des Steuerpflichtigen</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4. von Heizungsanlagen, Elektro-, Gas- und Wasserinstallationen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auf dem Grundstück des Steuerpflichtigen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außerhalb des Grundstücks des Steuerpflichtigen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5. von Kraftfahrzeugen (einschließlich TÜV-Gebühren)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6. von Wandschränken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Schadensfeststellung, Ursachenfeststellung (z. B. bei Wasserschaden, Rohrbruch usw.)</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Schadstoffsanierung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Schädlings- und Ungezieferbekämpfung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Schornsteinfeger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Schornstein- Kehrarbeiten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Reparatur- und Wartungsarbeiten (Rdnr. 58)</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xml:space="preserve">X </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Mess- oder Überprüfungsarbeiten- Feuerstättenschau (Rdnr. 22, 58)</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xml:space="preserve">Sekretär; hierunter fallen auch </w:t>
            </w:r>
            <w:r w:rsidRPr="00721583">
              <w:rPr>
                <w:rFonts w:ascii="Segoe UI" w:eastAsia="Times New Roman" w:hAnsi="Segoe UI" w:cs="Segoe UI"/>
                <w:color w:val="0F0F0F"/>
                <w:shd w:val="clear" w:color="auto" w:fill="FFE399"/>
              </w:rPr>
              <w:t>Dienstleistungen</w:t>
            </w:r>
            <w:r w:rsidRPr="00721583">
              <w:rPr>
                <w:rFonts w:ascii="Segoe UI" w:eastAsia="Times New Roman" w:hAnsi="Segoe UI" w:cs="Segoe UI"/>
                <w:color w:val="0F0F0F"/>
              </w:rPr>
              <w:t xml:space="preserve"> in </w:t>
            </w:r>
            <w:r w:rsidRPr="00721583">
              <w:rPr>
                <w:rFonts w:ascii="Segoe UI" w:eastAsia="Times New Roman" w:hAnsi="Segoe UI" w:cs="Segoe UI"/>
                <w:color w:val="0F0F0F"/>
              </w:rPr>
              <w:lastRenderedPageBreak/>
              <w:t>Form von Büroarbeiten (z. B. Ablageorganisation, Erledigung von Behördengängen, Stellen von Anträgen bei Versicherungen und Banken usw.)</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Sperrmüllabfuhr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Statikerleistung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Straßenreinigung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auf privatem Grundstück</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auf öffentlichem Grundstück</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Tagesmutter bei Betreuung im Haushalt des Steuerpflichtigen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soweit es sich bei den Aufwendungen nicht um Kinderbetreuungskosten (Rdnr. 34) handelt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Kinderbetreuungskosten (Rdnr. 34)</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Taubenabwehr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Technische Prüfdienste (z. B. bei Aufzügen)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Terrassenüberdachung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Errichtung im Rahmen einer Neubaumaßnahme (Rdnr.21)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Tierbetreuungs-, pflege- oder -arztkosten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Trockeneisreinigung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Trockenlegung von Mauerwerk</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Arbeiten mit Maschinen vor Ort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ausschließliche Maschinenanmietung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TÜV-Gebühren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Überprüfung von Anlagen (z. B. Gebühr für den Schornsteinfeger oder für die Kontrolle von Blitzschutzanlagen)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 Schornsteinfeger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TÜV-Gebühren; s. auch Schornsteinfeger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Umzäunung, Stützmauer o. ä.</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Arbeitskosten für Maßnahmen auf privatem Grundstück</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Materialkosten sowie</w:t>
            </w:r>
          </w:p>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Maßnahmen auf öffentlichem Grundstück oder</w:t>
            </w:r>
          </w:p>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 im Rahmen einer Neubaumaßnahme (Rdnr.21)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Umzugsdienstleistungen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für Privatpersonen (Rdnrn. 19, 31)</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Abgrenzung im Einzelfall</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Verarbeitung von Verbrauchsgütern im Haushalt des Steuerpflichtigen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Verbrauchsmittel, wie z. B. Schmier-, Reinigungs- oder Spülmittel sowie Streugut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als Nebenleistung (Rdnr. 39) - Abgrenzung im Einzelfall</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als Nebenleistung (Rdnr.39) - Abgrenzung im Einzelfall</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lastRenderedPageBreak/>
              <w:t>Verwaltergebühr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Wachdienst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Wärmedämmmaß- nahmen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Wartung: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1. Aufzug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2. Heizung und Öltankanlagen (einschließlich Tankreinigung)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3. Feuerlöscher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4. CO</w:t>
            </w:r>
            <w:r w:rsidRPr="00721583">
              <w:rPr>
                <w:rFonts w:ascii="Segoe UI" w:eastAsia="Times New Roman" w:hAnsi="Segoe UI" w:cs="Segoe UI"/>
                <w:color w:val="0F0F0F"/>
                <w:vertAlign w:val="subscript"/>
              </w:rPr>
              <w:t>2</w:t>
            </w:r>
            <w:r w:rsidRPr="00721583">
              <w:rPr>
                <w:rFonts w:ascii="Segoe UI" w:eastAsia="Times New Roman" w:hAnsi="Segoe UI" w:cs="Segoe UI"/>
                <w:color w:val="0F0F0F"/>
              </w:rPr>
              <w:t>-Warngeräte</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5. Pumpen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6. Abwasser-Rückstau-Sicherungen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Wasserschadensanierung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soweit Versicherungsleistung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Wasserversorgung</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Wartung und Reparatur</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textAlignment w:val="baseline"/>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Winterdienst</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innerhalb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alle Maßnahmen außerhalb des Grundstücks</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r w:rsidR="001F7238" w:rsidRPr="00721583" w:rsidTr="00B46F99">
        <w:trPr>
          <w:trHeight w:val="225"/>
        </w:trPr>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Zubereitung von Mahlzeiten im Haushalt des Steuerpflichtigen</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X</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F7238" w:rsidRPr="00721583" w:rsidRDefault="001F7238" w:rsidP="00B46F99">
            <w:pPr>
              <w:spacing w:after="0" w:line="240" w:lineRule="auto"/>
              <w:rPr>
                <w:rFonts w:ascii="Segoe UI" w:eastAsia="Times New Roman" w:hAnsi="Segoe UI" w:cs="Segoe UI"/>
                <w:color w:val="0F0F0F"/>
              </w:rPr>
            </w:pPr>
          </w:p>
        </w:tc>
      </w:tr>
    </w:tbl>
    <w:p w:rsidR="00612297" w:rsidRPr="001F7238" w:rsidRDefault="001F7238" w:rsidP="001F7238">
      <w:pPr>
        <w:spacing w:after="180" w:line="240" w:lineRule="auto"/>
        <w:textAlignment w:val="baseline"/>
        <w:rPr>
          <w:rFonts w:ascii="Segoe UI" w:eastAsia="Times New Roman" w:hAnsi="Segoe UI" w:cs="Segoe UI"/>
          <w:color w:val="0F0F0F"/>
        </w:rPr>
      </w:pPr>
      <w:r w:rsidRPr="00721583">
        <w:rPr>
          <w:rFonts w:ascii="Segoe UI" w:eastAsia="Times New Roman" w:hAnsi="Segoe UI" w:cs="Segoe UI"/>
          <w:color w:val="0F0F0F"/>
        </w:rPr>
        <w:t>BStBl-2014-I-0075</w:t>
      </w:r>
    </w:p>
    <w:sectPr w:rsidR="00612297" w:rsidRPr="001F723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0F8" w:rsidRDefault="009720F8">
      <w:pPr>
        <w:spacing w:after="0" w:line="240" w:lineRule="auto"/>
      </w:pPr>
      <w:r>
        <w:separator/>
      </w:r>
    </w:p>
  </w:endnote>
  <w:endnote w:type="continuationSeparator" w:id="0">
    <w:p w:rsidR="009720F8" w:rsidRDefault="0097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patil DATEV W01 Regular">
    <w:altName w:val="Calibri"/>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652298"/>
      <w:docPartObj>
        <w:docPartGallery w:val="Page Numbers (Bottom of Page)"/>
        <w:docPartUnique/>
      </w:docPartObj>
    </w:sdtPr>
    <w:sdtEndPr/>
    <w:sdtContent>
      <w:p w:rsidR="007D1D09" w:rsidRDefault="001F7238">
        <w:pPr>
          <w:pStyle w:val="Fuzeile"/>
          <w:jc w:val="center"/>
        </w:pPr>
        <w:r>
          <w:fldChar w:fldCharType="begin"/>
        </w:r>
        <w:r>
          <w:instrText>PAGE   \* MERGEFORMAT</w:instrText>
        </w:r>
        <w:r>
          <w:fldChar w:fldCharType="separate"/>
        </w:r>
        <w:r>
          <w:t>2</w:t>
        </w:r>
        <w:r>
          <w:fldChar w:fldCharType="end"/>
        </w:r>
      </w:p>
    </w:sdtContent>
  </w:sdt>
  <w:p w:rsidR="007D1D09" w:rsidRDefault="009720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0F8" w:rsidRDefault="009720F8">
      <w:pPr>
        <w:spacing w:after="0" w:line="240" w:lineRule="auto"/>
      </w:pPr>
      <w:r>
        <w:separator/>
      </w:r>
    </w:p>
  </w:footnote>
  <w:footnote w:type="continuationSeparator" w:id="0">
    <w:p w:rsidR="009720F8" w:rsidRDefault="0097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F01A7"/>
    <w:multiLevelType w:val="hybridMultilevel"/>
    <w:tmpl w:val="062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15"/>
    <w:rsid w:val="001F7238"/>
    <w:rsid w:val="00610215"/>
    <w:rsid w:val="00612297"/>
    <w:rsid w:val="009720F8"/>
    <w:rsid w:val="00BD3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BE914-1D6D-4DDB-A715-9150F786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F72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238"/>
  </w:style>
  <w:style w:type="paragraph" w:styleId="Sprechblasentext">
    <w:name w:val="Balloon Text"/>
    <w:basedOn w:val="Standard"/>
    <w:link w:val="SprechblasentextZchn"/>
    <w:uiPriority w:val="99"/>
    <w:semiHidden/>
    <w:unhideWhenUsed/>
    <w:rsid w:val="00BD3D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lau\AppData\Local\Temp\&#167;%2035a%20EStG%20Merkblatt.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03f5ff36-e6ab-446c-8499-b637fdf7676e</BSO999929>
</file>

<file path=customXml/itemProps1.xml><?xml version="1.0" encoding="utf-8"?>
<ds:datastoreItem xmlns:ds="http://schemas.openxmlformats.org/officeDocument/2006/customXml" ds:itemID="{7DF0C678-E0EB-47BC-8CFB-BCD4C916C98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 35a EStG Merkblatt.DOCX</Template>
  <TotalTime>0</TotalTime>
  <Pages>16</Pages>
  <Words>1844</Words>
  <Characters>11620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Sliver 1</dc:creator>
  <cp:keywords/>
  <dc:description/>
  <cp:lastModifiedBy>Sliver 1</cp:lastModifiedBy>
  <cp:revision>2</cp:revision>
  <cp:lastPrinted>2019-01-03T12:14:00Z</cp:lastPrinted>
  <dcterms:created xsi:type="dcterms:W3CDTF">2019-01-03T12:14:00Z</dcterms:created>
  <dcterms:modified xsi:type="dcterms:W3CDTF">2019-01-03T12:14:00Z</dcterms:modified>
</cp:coreProperties>
</file>